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#3 – Historical Querying</w:t>
        <w:br w:type="textWrapping"/>
      </w:r>
      <w:r w:rsidDel="00000000" w:rsidR="00000000" w:rsidRPr="00000000">
        <w:rPr>
          <w:rtl w:val="0"/>
        </w:rPr>
        <w:t xml:space="preserve"> The time-range query system performed reliably across multiple datasets. Boundary cases and range filters behaved correctly, and results loaded within expected time windows.</w:t>
      </w:r>
    </w:p>
    <w:p w:rsidR="00000000" w:rsidDel="00000000" w:rsidP="00000000" w:rsidRDefault="00000000" w:rsidRPr="00000000" w14:paraId="00000009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#5 – Multi-Asset Support</w:t>
        <w:br w:type="textWrapping"/>
      </w:r>
      <w:r w:rsidDel="00000000" w:rsidR="00000000" w:rsidRPr="00000000">
        <w:rPr>
          <w:rtl w:val="0"/>
        </w:rPr>
        <w:t xml:space="preserve"> Parallel dataset generation for multiple instruments worked smoothly. The system maintained consistent timing and produced synchronized outputs across assets.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#4 – Synthetic Market Realism</w:t>
        <w:br w:type="textWrapping"/>
      </w:r>
      <w:r w:rsidDel="00000000" w:rsidR="00000000" w:rsidRPr="00000000">
        <w:rPr>
          <w:rtl w:val="0"/>
        </w:rPr>
        <w:t xml:space="preserve"> Although realism parameters improved, deeper validation showed that certain flow patterns still diverged from expected market behavior. More tuning is needed.</w:t>
      </w:r>
    </w:p>
    <w:p w:rsidR="00000000" w:rsidDel="00000000" w:rsidP="00000000" w:rsidRDefault="00000000" w:rsidRPr="00000000" w14:paraId="0000000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#7 – Integration with Proprietary Data</w:t>
        <w:br w:type="textWrapping"/>
      </w:r>
      <w:r w:rsidDel="00000000" w:rsidR="00000000" w:rsidRPr="00000000">
        <w:rPr>
          <w:rtl w:val="0"/>
        </w:rPr>
        <w:t xml:space="preserve"> Initial merging logic worked for small batches, but inconsistencies appeared when aligning timestamps and event types in larger datasets. Additional refinement required.</w:t>
      </w:r>
    </w:p>
    <w:p w:rsidR="00000000" w:rsidDel="00000000" w:rsidP="00000000" w:rsidRDefault="00000000" w:rsidRPr="00000000" w14:paraId="00000011">
      <w:pPr>
        <w:spacing w:after="240" w:before="240" w:line="276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